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209E9B11">
      <w:pPr>
        <w:jc w:val="center"/>
        <w:rPr>
          <w:rFonts w:hint="eastAsia" w:ascii="Times New Roman" w:hAnsi="Times New Roman" w:cs="Times New Roman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sz w:val="36"/>
          <w:szCs w:val="36"/>
          <w:lang w:eastAsia="zh-CN"/>
        </w:rPr>
        <w:t>启东市高层次人才分类目录</w:t>
      </w:r>
    </w:p>
    <w:p w14:paraId="103649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6182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A类人才：</w:t>
      </w:r>
    </w:p>
    <w:p w14:paraId="4AC06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1.诺贝尔奖获得者。</w:t>
      </w:r>
    </w:p>
    <w:p w14:paraId="05631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2.国家最高科学技术奖获得者。</w:t>
      </w:r>
    </w:p>
    <w:p w14:paraId="7A9E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3.发达国家院士。</w:t>
      </w:r>
    </w:p>
    <w:p w14:paraId="3E05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4.中国科学院院士，中国工程院院士。</w:t>
      </w:r>
    </w:p>
    <w:p w14:paraId="11BB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5.国家“万人计划”杰出人才。</w:t>
      </w:r>
    </w:p>
    <w:p w14:paraId="68444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6.菲尔兹奖、图灵奖、普利兹克奖获得者。</w:t>
      </w:r>
    </w:p>
    <w:p w14:paraId="291B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7.相当于上述层次的顶尖人才。</w:t>
      </w:r>
    </w:p>
    <w:p w14:paraId="761B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B类人才：</w:t>
      </w:r>
    </w:p>
    <w:p w14:paraId="475C7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1.国家“万人计划”中除杰出人才之外的入选者（不含青年项目）、国家重大人才工程入选者（不含青年项目）、国家杰出青年科学基金获得者、百千万人才工程国家级入选者、中科院“百人计划”A类入选者。</w:t>
      </w:r>
    </w:p>
    <w:p w14:paraId="05F8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2.全国文化名家暨宣传文化系统“四个一批”人才，国家级教学名师，国家级医学会专业委员会主任、副主任，中国工艺美术大师，江苏省“333工程”第一层次培养对象。</w:t>
      </w:r>
    </w:p>
    <w:p w14:paraId="666F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3.国家自然科学奖、国家技术发明奖、国家科学技术进步奖一等奖获得者（前3位完成人）。</w:t>
      </w:r>
    </w:p>
    <w:p w14:paraId="2630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4.世界500强企业及其子公司、上年度应税销售超30亿元（含）以上工业企业或生产性服务业企业技术研发核心骨干，且上年度工资性收入在200万元（含）以上。</w:t>
      </w:r>
    </w:p>
    <w:p w14:paraId="2928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5.相当于上述层次的领军人才。</w:t>
      </w:r>
    </w:p>
    <w:p w14:paraId="0D6E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C类人才：</w:t>
      </w:r>
    </w:p>
    <w:p w14:paraId="0939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1.国家“万人计划”青年拔尖项目入选者、国家重大人才工程青年项目入选者、国家自然科学基金优秀青年科学基金（海外）项目入选者、中科院“百人计划”B类入选者；</w:t>
      </w:r>
    </w:p>
    <w:p w14:paraId="7557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2.享受国务院特殊津贴专家、江苏省“双创人才”资助对象、江苏省有突出贡献中青年专家。</w:t>
      </w:r>
    </w:p>
    <w:p w14:paraId="57FE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3.中华技能大奖、全国技术能手获得者，国家级技能大师工作室领办人，世界技能大赛金、银、铜牌获得者，国家级一类大赛前三名、国家级二类大赛第一名的选手。</w:t>
      </w:r>
    </w:p>
    <w:p w14:paraId="1A98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4.国家自然科学奖、技术发明奖、科学技术进步奖二等奖获得者（前3位完成人）、江苏省自然科学奖、技术发明奖、科学技术进步奖一等奖获得者（前3位完成人）。</w:t>
      </w:r>
    </w:p>
    <w:p w14:paraId="5CBD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中宣部“宣传思想文化青年英才”入选者、江苏省“文化名家”、江苏省工艺美术大师；全国模范教师、全国优秀教师、全国优秀教育工作者、全国优秀班主任、全国教书育人楷模、江苏省“特聘教授”、江苏省特级教师；国家卫健委有突出贡献的中青年专家、江苏省“特聘医学专家”、省级医学会专业委员会主任；江苏省“333工程”第二层次培养对象、南通市“226工程”第一层次培养对象。</w:t>
      </w:r>
    </w:p>
    <w:p w14:paraId="18A8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6.中国500强企业或中国民营企业500强企业及其子公司、世界500强企业及其子公司、上年度应税销售超10亿元（含）以上工业企业或生产性服务业企业技术研发核心骨干，且上年度工资性收入在150万元（含）以上。</w:t>
      </w:r>
    </w:p>
    <w:p w14:paraId="210E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7.相当于上述层次的领军人才。</w:t>
      </w:r>
    </w:p>
    <w:p w14:paraId="5677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D类人才：</w:t>
      </w:r>
    </w:p>
    <w:p w14:paraId="65CF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1.江苏省“双创博士”、南通市“江海英才计划”、启东市“东疆英才计划”资助对象。</w:t>
      </w:r>
    </w:p>
    <w:p w14:paraId="6226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江苏省“文化英才”、中国文化艺术政府奖（文华奖和群星奖）主要获得者；江苏省教学名师；江苏省卫生健康拔尖人才；江苏省“333工程”第三层次培养对象、南通市“226工程”第二层次培养对象、启东市“312计划”第一层次培养对象。</w:t>
      </w:r>
    </w:p>
    <w:p w14:paraId="6BA2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3.上年度应税销售超5亿元（含）以上工业企业或生产性服务业企业、省重大项目中产业项目企业或实际投资额3亿元以上企业技术研发核心骨干，且上年度工资性收入在100万元（含）以上。</w:t>
      </w:r>
    </w:p>
    <w:p w14:paraId="547CA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4.省、部、军队、国防自然科学奖、技术发明奖、科学技术进步奖（二等奖）获得者（前3位完成人）。</w:t>
      </w:r>
    </w:p>
    <w:p w14:paraId="2BCA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5.相当于上述层次的人才。</w:t>
      </w:r>
    </w:p>
    <w:p w14:paraId="38F7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E类人才：</w:t>
      </w:r>
    </w:p>
    <w:p w14:paraId="1EFB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1.具有正高级专业技术职务任职资格的专业技术人才。</w:t>
      </w:r>
    </w:p>
    <w:p w14:paraId="7D01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2.省级技术能手获得者，省级技能大师工作室领办人，省级企业首席技师，国家级一类大赛前四至六名、国家级二类大赛第二至三名、省级一类大赛前三名、省级二类大赛第一名。</w:t>
      </w:r>
    </w:p>
    <w:p w14:paraId="0520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3.上年度应税销售超1亿元（含）以上工业企业或生产性服务业企业、南通市重大项目中产业项目企业或实际投资1亿元以上企业技术研发骨干，且上年度工资性收入在50万元（含）以上。</w:t>
      </w:r>
    </w:p>
    <w:p w14:paraId="003B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4.省、部、军队、国防自然科学奖、技术发明奖、科学技术进步奖（三等奖）获得者（前3位完成人）。</w:t>
      </w:r>
    </w:p>
    <w:p w14:paraId="7F4A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5.全日制博士。</w:t>
      </w:r>
    </w:p>
    <w:p w14:paraId="267B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6.相当于上述层次的人才。</w:t>
      </w:r>
    </w:p>
    <w:p w14:paraId="75E5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F类人才：</w:t>
      </w:r>
    </w:p>
    <w:p w14:paraId="0658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1.具有副高级专业技术职务任职资格的专业技术人才。</w:t>
      </w:r>
    </w:p>
    <w:p w14:paraId="0C6D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2.具有高级技师职业资格证书的技能人才。</w:t>
      </w:r>
    </w:p>
    <w:p w14:paraId="74AC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3.市规模以上工业企业、生产性服务业企业以及国家级高新技术企业技术研发骨干，且上年度工资性收入在24万元（含）以上。</w:t>
      </w:r>
    </w:p>
    <w:p w14:paraId="1679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4.南通市“226工程”第三层次培养对象、启东市“312计划”第二层次培养对象。</w:t>
      </w:r>
    </w:p>
    <w:p w14:paraId="5893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5.全日制硕士研究生。</w:t>
      </w:r>
    </w:p>
    <w:p w14:paraId="37E2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6.相当于上述层次的人才。</w:t>
      </w:r>
    </w:p>
    <w:p w14:paraId="0C77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G类人才：</w:t>
      </w:r>
    </w:p>
    <w:p w14:paraId="6A19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1.具有中级技术职务任职资格的专技人才。</w:t>
      </w:r>
    </w:p>
    <w:p w14:paraId="3CD0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2.具有技师职业资格证书的技能人才。</w:t>
      </w:r>
    </w:p>
    <w:p w14:paraId="421B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3.启东市“312计划”第三层次培养对象。</w:t>
      </w:r>
    </w:p>
    <w:p w14:paraId="45FB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4.“双一流”高校的全日制本科毕业生。</w:t>
      </w:r>
    </w:p>
    <w:p w14:paraId="143A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5.相当于上述层次的人才。</w:t>
      </w:r>
    </w:p>
    <w:p w14:paraId="19747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H类人才：</w:t>
      </w:r>
    </w:p>
    <w:p w14:paraId="33F2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1.全日制本科毕业生。</w:t>
      </w:r>
    </w:p>
    <w:p w14:paraId="53D81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2.相当于上述层次的人才。</w:t>
      </w:r>
    </w:p>
    <w:p w14:paraId="453C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I类人才：</w:t>
      </w:r>
    </w:p>
    <w:p w14:paraId="19EA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1.具有初级技术职务任职资格的专技人才。</w:t>
      </w:r>
    </w:p>
    <w:p w14:paraId="4F30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2.具有高级工职业资格证书的技能人才。</w:t>
      </w:r>
    </w:p>
    <w:p w14:paraId="1FBF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3.全日制大专毕业生。</w:t>
      </w:r>
    </w:p>
    <w:p w14:paraId="1BA1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4.相当于上述层次的人才。</w:t>
      </w:r>
    </w:p>
    <w:p w14:paraId="3A839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61142A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baseline"/>
        <w:rPr>
          <w:rFonts w:hint="eastAsia" w:ascii="Times New Roman" w:hAnsi="Times New Roman" w:cs="宋体"/>
          <w:spacing w:val="-11"/>
          <w:sz w:val="21"/>
          <w:szCs w:val="21"/>
          <w:lang w:val="en-US" w:eastAsia="zh-CN"/>
        </w:rPr>
      </w:pPr>
    </w:p>
    <w:p w14:paraId="396449E2"/>
    <w:p w14:paraId="4E8B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baseline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11664"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0419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0419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5885A6">
    <w:pPr>
      <w:pStyle w:val="5"/>
      <w:wordWrap/>
      <w:spacing w:line="240" w:lineRule="auto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启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val="en-US" w:eastAsia="zh-CN"/>
      </w:rPr>
      <w:t>启东市人力资源和社会保障局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</w:rPr>
      <w:t xml:space="preserve">发布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</w:t>
    </w:r>
  </w:p>
  <w:p w14:paraId="3F7681D9"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A675"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4FCB209"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启东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市行政规范性文件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OTU4M2FjNjc2NDY5NTUxMTYyZDliOTkyN2VhYTMifQ=="/>
  </w:docVars>
  <w:rsids>
    <w:rsidRoot w:val="00172A27"/>
    <w:rsid w:val="00005913"/>
    <w:rsid w:val="00090A09"/>
    <w:rsid w:val="00172A27"/>
    <w:rsid w:val="002D10C2"/>
    <w:rsid w:val="004176C1"/>
    <w:rsid w:val="004677DA"/>
    <w:rsid w:val="004F54A0"/>
    <w:rsid w:val="00891681"/>
    <w:rsid w:val="009629FE"/>
    <w:rsid w:val="00A16B8D"/>
    <w:rsid w:val="00A7143B"/>
    <w:rsid w:val="00A9255E"/>
    <w:rsid w:val="00AC71A2"/>
    <w:rsid w:val="00BC763C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3272FC5"/>
    <w:rsid w:val="2BFF463C"/>
    <w:rsid w:val="31A15F24"/>
    <w:rsid w:val="37D57125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7A76C3C"/>
    <w:rsid w:val="68AF137D"/>
    <w:rsid w:val="6AD9688B"/>
    <w:rsid w:val="6D0E3F22"/>
    <w:rsid w:val="6EFC1B31"/>
    <w:rsid w:val="73505624"/>
    <w:rsid w:val="7C455F4C"/>
    <w:rsid w:val="7C7A3F7D"/>
    <w:rsid w:val="7C9011D9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3"/>
    <w:qFormat/>
    <w:uiPriority w:val="0"/>
    <w:pPr>
      <w:widowControl/>
      <w:adjustRightInd w:val="0"/>
      <w:spacing w:line="312" w:lineRule="atLeast"/>
      <w:ind w:firstLine="420" w:firstLineChars="100"/>
      <w:jc w:val="left"/>
    </w:pPr>
    <w:rPr>
      <w:rFonts w:ascii="Times New Roman" w:hAnsi="Times New Roman"/>
      <w:kern w:val="0"/>
      <w:sz w:val="20"/>
      <w:szCs w:val="20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6087</Words>
  <Characters>6335</Characters>
  <Lines>88</Lines>
  <Paragraphs>54</Paragraphs>
  <TotalTime>24</TotalTime>
  <ScaleCrop>false</ScaleCrop>
  <LinksUpToDate>false</LinksUpToDate>
  <CharactersWithSpaces>6428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朱茵</cp:lastModifiedBy>
  <cp:lastPrinted>2021-10-26T03:30:00Z</cp:lastPrinted>
  <dcterms:modified xsi:type="dcterms:W3CDTF">2025-12-08T06:35:42Z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73227414D5AD40F0B75EF86B0219F25A_13</vt:lpwstr>
  </property>
  <property fmtid="{D5CDD505-2E9C-101B-9397-08002B2CF9AE}" pid="4" name="KSOTemplateDocerSaveRecord">
    <vt:lpwstr>eyJoZGlkIjoiOWQ1NmZkMGZhZjFlN2E3MjU4Mzc0YTkxZTc3OTEwZWUiLCJ1c2VySWQiOiIzMDI5OTY4MTEifQ==</vt:lpwstr>
  </property>
</Properties>
</file>